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X="-169" w:tblpY="1"/>
        <w:tblOverlap w:val="never"/>
        <w:tblW w:w="13604"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7"/>
        <w:gridCol w:w="2630"/>
        <w:gridCol w:w="10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60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8"/>
                <w:szCs w:val="28"/>
                <w:u w:val="none"/>
                <w:lang w:val="en-US" w:eastAsia="zh-CN"/>
              </w:rPr>
            </w:pPr>
            <w:r>
              <w:rPr>
                <w:rFonts w:hint="eastAsia" w:ascii="黑体" w:hAnsi="宋体" w:eastAsia="黑体" w:cs="黑体"/>
                <w:i w:val="0"/>
                <w:iCs w:val="0"/>
                <w:color w:val="000000"/>
                <w:sz w:val="28"/>
                <w:szCs w:val="28"/>
                <w:u w:val="none"/>
                <w:lang w:val="en-US" w:eastAsia="zh-CN"/>
              </w:rPr>
              <w:t>附件1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604" w:type="dxa"/>
            <w:gridSpan w:val="3"/>
            <w:tcBorders>
              <w:top w:val="nil"/>
              <w:left w:val="nil"/>
              <w:bottom w:val="single" w:color="000000" w:sz="4" w:space="0"/>
              <w:right w:val="nil"/>
            </w:tcBorders>
            <w:shd w:val="clear" w:color="auto" w:fill="auto"/>
            <w:vAlign w:val="center"/>
          </w:tcPr>
          <w:p>
            <w:pPr>
              <w:keepNext w:val="0"/>
              <w:keepLines w:val="0"/>
              <w:widowControl/>
              <w:suppressLineNumbers w:val="0"/>
              <w:ind w:firstLine="880" w:firstLineChars="200"/>
              <w:jc w:val="center"/>
              <w:textAlignment w:val="center"/>
              <w:rPr>
                <w:rFonts w:hint="eastAsia" w:ascii="黑体" w:hAnsi="宋体" w:eastAsia="黑体" w:cs="黑体"/>
                <w:i w:val="0"/>
                <w:iCs w:val="0"/>
                <w:color w:val="000000"/>
                <w:kern w:val="2"/>
                <w:sz w:val="28"/>
                <w:szCs w:val="28"/>
                <w:u w:val="none"/>
                <w:lang w:val="en-US" w:eastAsia="zh-CN" w:bidi="ar-SA"/>
              </w:rPr>
            </w:pPr>
            <w:r>
              <w:rPr>
                <w:rFonts w:hint="eastAsia" w:ascii="方正小标宋简体" w:hAnsi="方正小标宋简体" w:eastAsia="方正小标宋简体" w:cs="方正小标宋简体"/>
                <w:sz w:val="44"/>
                <w:szCs w:val="44"/>
              </w:rPr>
              <w:t>应急救援装备目录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80" w:firstLineChars="100"/>
              <w:jc w:val="both"/>
              <w:textAlignment w:val="center"/>
              <w:rPr>
                <w:rFonts w:hint="eastAsia" w:ascii="黑体" w:hAnsi="宋体" w:eastAsia="黑体" w:cs="黑体"/>
                <w:i w:val="0"/>
                <w:iCs w:val="0"/>
                <w:color w:val="000000"/>
                <w:kern w:val="2"/>
                <w:sz w:val="28"/>
                <w:szCs w:val="28"/>
                <w:u w:val="none"/>
                <w:lang w:val="en-US" w:eastAsia="zh-CN" w:bidi="ar-SA"/>
              </w:rPr>
            </w:pPr>
            <w:r>
              <w:rPr>
                <w:rFonts w:hint="eastAsia" w:ascii="黑体" w:hAnsi="宋体" w:eastAsia="黑体" w:cs="黑体"/>
                <w:i w:val="0"/>
                <w:iCs w:val="0"/>
                <w:color w:val="000000"/>
                <w:kern w:val="0"/>
                <w:sz w:val="28"/>
                <w:szCs w:val="28"/>
                <w:u w:val="none"/>
                <w:lang w:val="en-US" w:eastAsia="zh-CN" w:bidi="ar"/>
              </w:rPr>
              <w:t>序号</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2"/>
                <w:sz w:val="28"/>
                <w:szCs w:val="28"/>
                <w:u w:val="none"/>
                <w:lang w:val="en-US" w:eastAsia="zh-CN" w:bidi="ar-SA"/>
              </w:rPr>
            </w:pPr>
            <w:r>
              <w:rPr>
                <w:rFonts w:hint="eastAsia" w:ascii="黑体" w:hAnsi="宋体" w:eastAsia="黑体" w:cs="黑体"/>
                <w:i w:val="0"/>
                <w:iCs w:val="0"/>
                <w:color w:val="000000"/>
                <w:kern w:val="0"/>
                <w:sz w:val="28"/>
                <w:szCs w:val="28"/>
                <w:u w:val="none"/>
                <w:lang w:val="en-US" w:eastAsia="zh-CN" w:bidi="ar"/>
              </w:rPr>
              <w:t>装备名称</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560" w:firstLineChars="200"/>
              <w:jc w:val="center"/>
              <w:textAlignment w:val="center"/>
              <w:rPr>
                <w:rFonts w:hint="eastAsia" w:ascii="黑体" w:hAnsi="宋体" w:eastAsia="黑体" w:cs="黑体"/>
                <w:i w:val="0"/>
                <w:iCs w:val="0"/>
                <w:color w:val="000000"/>
                <w:kern w:val="2"/>
                <w:sz w:val="28"/>
                <w:szCs w:val="28"/>
                <w:u w:val="none"/>
                <w:lang w:val="en-US" w:eastAsia="zh-CN" w:bidi="ar-SA"/>
              </w:rPr>
            </w:pPr>
            <w:r>
              <w:rPr>
                <w:rFonts w:hint="eastAsia" w:ascii="黑体" w:hAnsi="宋体" w:eastAsia="黑体" w:cs="黑体"/>
                <w:i w:val="0"/>
                <w:iCs w:val="0"/>
                <w:color w:val="000000"/>
                <w:kern w:val="0"/>
                <w:sz w:val="28"/>
                <w:szCs w:val="28"/>
                <w:u w:val="none"/>
                <w:lang w:val="en-US" w:eastAsia="zh-CN" w:bidi="ar"/>
              </w:rPr>
              <w:t>基本性能和参数要求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大功率推土机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较大规模以上堤防溃口、道路、泥石流、山体崩塌等救援现场块石、黏土、六面体、钢筋石笼等物料的运输、抛投、推平、碾压，与现有中小型推土机配合使用。具备铲土、运土、填土、平整、松土、牵引等功能，履带式岩石型推土机，额定功率≥350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高速履带推土机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用于抢修抢建道路、回填基坑、铲除障碍、清除积雪、平整场地等。配备橡胶履带底盘，具备推土、松土、清障、牵引、涉水、越障和救援等功能，行驶速度≥50km/h，额定功率≥200kW。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多功能推土机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用于坍塌建构筑物清理、道路清障、决口封堵、沟槽开挖、堆积体清理平整等救援任务。具有铲土、运土、填土、平整、松土、牵引等功能，额定功率≥250kW，履带式、岩石型。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履带式推土机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主要用于块石、黏土、六面体、钢筋石笼等封堵物料的运输抛投、推平碾压，具备铲土、运土、填土、平整、松土、牵引等功能</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额定功率≥260kW、整机工作重量≥39t。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湿地推土机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用于土质松软、表面泥泞易塌陷等救援场景中道路清障、决口封堵、沟槽开挖、堆积体清理平整等。具有铲土、运土、填土、平整、松土、牵引等功能，额定功率≥200kW。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推土机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用于各类堤防溃口、道路、泥石流、山体崩塌等救援现场块石、黏土、六面体、钢筋石笼等物料的运输、抛投、推平、碾压，与大型推土机配合使用，额定功率≥240kW。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步履式挖掘机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主要用于陡峭山坡、林地、沼泽等复杂地形环境抢险作业。作业参数：铲斗容量≥0.8m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，最大越障高度≥2800mm，最大涉水深度≥2400mm。步行爬坡能力≥45°，轮式爬坡能力≥25°。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大功率挖掘机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主要用于大体量工程坍塌物快速清除、沟槽开挖等作业。整机工作重量≥48t，额定斗容≥2.5m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，额定功率≥310kw，适用海拔≥4500米。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多功能应急救援挖掘机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山体崩塌、滑坡、泥石流清淤、地面塌陷处理及隧道掘进排险、危险物品清除和转移等安全生产事故救援。具备岩体破碎、液压剪切、强击夯实、拖拽牵引等功能，能实现无人遥控与驾驶操作的随时切换，无障碍遥控距离≥2km，额定斗容≥1.5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额定功率≥150kW。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履带式挖掘机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主要用于工程坍塌物快速清除、沟槽开挖等作业。整机工作重量≥37t</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额定功率≥250kW，额定斗容≥1.9m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水陆两栖挖掘机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用于堤防裂缝、漏洞、滑坡、决口或河道阻塞等情况险情处置。具备水面漂浮及湿地行走功能，适配多功能属具，水上行进速度≥3km/h，工作水深≥2m，额定斗容≥1m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遥控智能挖掘机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危险建筑物拆除、坍塌物清除、道路清障作业。具备多模式操作：手动、近程遥控、远程遥控模式功能可切换，远程遥控模式下支持5G网络遥控，具备全角度视频监控，配备多摄像头，挖掘机周围全方位监控，支持360度全景显示，额定斗容≥1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，适用海拔≥4500m。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应急救援挖掘机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用于建筑深基坑塌方、桥梁坍塌、道路大面积塌方等救援任务。配备破碎锤、剪钳、破拆组件，适用于不同区域，整机工作重量≥20t，额定斗容≥1m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长臂挖掘机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倒塌建筑物的拆除、破碎、吊运等，能够对边坡失稳引发的河道堵塞、泥石流、道路损毁等事故中的清理疏浚和高边坡孤石排险作业。具备挖掘、装载、吊装、破碎、拆除等功能，三段式长臂，作业半径≥25m、额定斗容≥0.5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、额定功率≥250kW。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大功率装载机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用于事故灾害救援过程中装载、货叉、侧卸、夹木钳等场景。具备一机多用、高机动、遥控操作等功能。最高时速≥80km/h，额定斗容≥2.5m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，额定功率≥150kW，卸载高度≥2.5m，爬坡度≥25°，适用海拔≥4500米。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电动侧卸式装载机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具备装载、货叉、侧卸、夹木钳等工作装置，实现一机多用，高机动性能，具有遥控操作功能。电池动力，最高时速≥80km/h，额定斗容≥2.7m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，额定功率≥150kW，卸载高度≥2.9m，最大爬坡度≥25度。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侧卸式装载机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用于事故灾害救援过程中狭窄道路、隧道的土石方装载、侧卸、运输、推铲等任务，额定斗容≥2.8m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，额定载荷≥5000kg，额定功率≥180kW。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轻型装载机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用于短距离抢险物料的装填、运输和场地整平，额定斗容≥3m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额定功率≥160kW。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自卸车（抢险运输车）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用于灾后道路散落物、隧道塌方物、山体滑坡山石等的清理和运输，额定功率≥250kW</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总质量≥31t，驱动形式8×4。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电动自卸车（电动抢险运输车）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运输抢险现场材料或原材料，节省卸料时间和劳动力，缩短运输周期，提高抢险效率，驱动形式8×4，货箱尺寸≥5600mm×2300mm×1300mm，最高车速（km/h）≥85，最大爬坡度（%）≥25%，电机额定功率（kW）≥250，电池额定电量（kWh）≥420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大流量排水抢险车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建设工程深基坑、暴雨洪涝灾害导致的城市下沉隧道、地下商场、社区地下室、能源物流管廊等地下空间大面积严重淹没时的紧急抽排水，具备排水、供水、照明功能，能够实现大流量与高扬程间有效切换，一体化集成车载，连续工作时间≥150h，排水量≥5000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/h，带有浮泵装置。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小型皮卡式排水抢险车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暴雨洪涝灾害导致的较小空间内涝紧急排水，由高通过性和机动性皮卡车搭载发电机组、大流量潜水泵、水泵控制柜、排水软管、浮圈等，具备移动水泵、移动电源功能和远程监控调度系统功能，排水量≥500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多功能排水机器人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排涝机器人采用履带式全遥控驱动，主要针对城市地下车库以及下沉式隧道的排涝，无需抢险人员涉水作业，安全有保障，遥控器无线远程净空半径距离≥800m，为便于现有抢险车辆运输，排涝机器人的三维尺寸之和≤4400mm，整机工作重量≤1000kg，最大排水能力≥600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/h；最大扬程≥10m，最大排水距离≥100m，可抽排固体直径≥20mm，出水口内径≤200mm。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挖装抢护运输车（40T）</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用于救援装备的快速转运，牵引总质量≥40t，发动机功率≥440kW。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挖装抢护运输车（120T）</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主要用于抢险救援大型设备装备转运，整备质量≥10.5t，轴距3300+1400mm，扭矩≥2580N·m，马力≥560PS，牵引总质量≥120t。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动力舟桥</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洪涝灾害的抢险救援，保障大规模人员涉水疏散转移，重型救援装备和抢险物料涉水运输。配备运输车组、河中舟、岸边舟及相关动力装置。单车≤35t、行驶速度≥80km/h、装卸载适应坡度≥10°；浮桥宽度≥8m、适应流速≥3m/s、水上航速≥10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应急机械化桥</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主要用于泥石流等地质灾害以及洪水造成道路损坏、桥梁垮塌时，开展交通应急恢复。桥体最大荷载≥30t，桥体长度≥25m，桥面宽度≥3m，架设时间≤15min。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大功率振动碾</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用于堤坝决口封堵、围堰培高加固、塌陷道路压实修复等灾害事故救援场景。具备手动、遥控操作模式切换功能。工作质量≥30t，功率≥250kW。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平地机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用于泥石流等地质灾害以及洪水造成道路损坏、桥梁垮塌时，开展交通应急恢复。发动机功率≥129KW，整机重量≥14.5t，最小离地间隙≥430mm，牵引力≥77kN，最大爬坡能力≥25° , 最小转弯半径≤7.1m，铲刀长度≥3660mm。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隧道掘进设备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主要用于泥石流等地质灾害以及洪水造成道路损坏、桥梁垮塌时，开展交通应急恢复。能够实现截割、装载运输、自行走及喷雾除尘的联合机组。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除雪除冰车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用于道路积雪扫除、道路破冰等雨雪冰冻灾害救援。配置除雪和破冰装置，具备挖装、松土、推铲、抓夹、绞盘牵引等功能。 额定功率≥180kW，时速≥90km/h，扫雪宽度≥2m，作业效率≥3km/h。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抛雪机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高原高海拔抢险救援，在极端低温状态下高效除雪作业，加快人员、装备通行速度，提高遂行救援任务能力。前置高速雪铲，除雪滚刷，中置腰铲，侧置翼铲，后置融雪剂撒布机。整机质量≥16.5t，发动机功率≥300kW，最大抛雪能力≥3000t/h，除雪宽度≥2m，除雪深度≥2米，除雪车速≥0.3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三臂凿岩台车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隧道、矿山、高速公路铁路、水利电站等事故救援中，对塌方边坡硬质岩石和建筑坍塌混凝土、钢筋混凝土构件进行凿岩破碎、爆破、支护等。具备智能化钻孔、边坡开挖面轮廓扫描、喷浆厚度检测、数据交互与</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远程通讯</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、超前地质探测分析等功能。三臂长度≥10m，转弯半径≤15m，冲击功率≥30kW，钻孔深度≥5m。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全电脑两臂凿岩台车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隧道、矿山、高速公路铁路、水利电站等事故救援中，对塌方边坡硬质岩石和建筑坍塌混凝土、钢筋混凝土构件进行凿岩破碎、爆破、支护等。具备智能化钻孔、边坡开挖面轮廓扫描、喷浆厚度检测、数据交互与远程通讯、超前地质探测分析等功能。凿岩直径≥35mm，钻孔深度≥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液压钻机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主要用于抢险救援爆破现场中钻孔作业，孔径范围76</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115mm，整机重量≥16500kg。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一体式潜孔钻</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top"/>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用于隧道、矿山、高速公路铁路、水利电站等事故救援中，对塌方边坡硬质岩石和建筑坍塌混凝土、钢筋混凝土构件进行凿岩破碎、爆破、支护等。主要参数</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钻孔深度≥24m，钻孔直径：90mm</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138mm，回转速度</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0-92rpm</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耗气量：15m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大口径水平救援钻机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用于山体、隧洞坍塌救援，快速打通逃生通道，无线遥控操作，有效规避视野盲区，安全性能强。钻进深度≥50m，救援通道内径≥800mm。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混凝土湿喷台车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用于大口径隧道、隧洞支护预防、边坡塌方和山体崩塌等事故灾害中岩层和表面碎石层加固，提高构筑物稳定性。具备混凝土泵送、湿式喷射、独立行走等功能。最大泵送方量≥30m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/h，喷射高度≥15m，喷射宽度≥30m，无线遥控距离≥100m。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顶管设备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滑坡、泥石流、山体崩塌、雪崩等地质灾害抢险救援。泥水平衡顶管机为分体式设计，包括机头、主顶装置、主顶泵站、操作台及电控柜等，采用PLC控制、显示屏可视化操作。具有液压系统、减速机、电气控制系统等主要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混凝土搅拌应急抢险车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用于快速</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混凝土搅拌</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运输，最高车速≥90km/h，最大爬坡度≥40%、最大驻坡度≥30%、电量≥280kWh，动力电池容量≥450Ah，电压平台≥610V。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高速轮式多用工程车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滑坡、泥石流、山体崩塌、雪崩等地质灾害抢险救援。具备挖掘、装卸、推平、牵引等多种功能，可选配推铲、装载、夹抓等载具，可为多种液压手持属具提供液压能源，两端作业模式，一端挖掘、一端装载，发动机额定功率≥180kW，挖掘装置额定斗容≥0.2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，装载装置额定斗容≥0.8m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，时速≥90km/h。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工程注浆机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隧道塌方、边坡失稳、堤坝工程抢修抢建等事故救援，通过对岩层、岩石、坝体等结构注浆加固，可有效提高围岩、边坡、坝体稳定性。具备原料存储输送、自动配料制浆、多孔同时注浆和数据分析、实时记录、动态监测等功能。电总功率≥200kW，制浆能力≥20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25t起重车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用于厂房倒塌、隧道塌方、机械侧翻等事故起重吊运和救援设备配件吊装卸载，最大额定起重量≥25t。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50t起重车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用于倒塌建筑物钢筋混凝土梁板柱吊运，大型救援装备配件吊运安装和堤防溃口封堵现场钢筋石笼、预制块等重物的转载吊运等，最大额定起重量≥50t。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100t起重车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用于厂房倒塌、隧道塌方、机械侧翻等事故起重吊运和救援设备配件吊装卸载，最大额定起重量≥100t。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130t起重车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用于厂房倒塌、隧道塌方、机械侧翻等事故起重吊运和救援设备配件吊装卸载，最大额定起重量≥130t。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220t汽车起重机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top"/>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用于厂房倒塌、隧道塌方、机械侧翻等事故起重吊运和救援设备配件吊装卸载，最大额定起重量≥220t。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抢险救援综合起重车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隧道、地下厂房、车库等低矮空间，公路、桥梁事故救援等。集重型吊重、牵引、发电、照明，以及移动模块化器材箱等功能于一身，不同场景抢险救援提供多种器材快速搭载和运输的解决方案，实现一车多用。最大起重力矩≥100t.m，最远伸臂≥15m，最大吊重能力≥25t，起重臂架可伸缩+折叠，最小高度≤4.9m，配备10t液压绞盘和发电升降照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高空作业车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主要用于救援现场快速运送工作人员和器材到现场进行空中救援作业，转移受困人员。发动机额定功率≥85kW，最大作业高度≥30m，工作平台额定载荷≥200kg。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伸缩臂叉装车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主要用于复杂地形条件下的装卸抢险作业，可实现两轮、四轮、蟹行三种转向方式。举升高度≥7m，最大起重量≥3t，4轮驱动。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破拆机器人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用于城市地下空间、塌方隧道以及管道等狭小空间现场勘测、清障除险等场景。配备破碎锤、岩石锯等属具，具备破拆、切割、剪切、抓取等功能。发动机功率≥35kw，无线遥控≥1km</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爬坡能力≥30°，液压破碎锤打击频率≥500bpm，液压剪剪切力≥500kN，割缝宽度≥8mm。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钻裂一体机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主要用于危岩体的破拆，将凿岩机与劈裂机直接安装在挖掘机上，钻孔和分裂工作都可以在驾驶室里进行操作，能够实现钻孔和分裂一次完成，平均钻速≥1m/min，空压机排量≥3方。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随车起重运输车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主要用于现场的物资装卸及运输，集起重与运输一体，方便快捷，最大起重高度≥23m，最大起重重量≥16t，最大载重≥20t。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应急指挥方舱</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用于重特大灾害现场指挥部开设，快速建立一线指挥、决策、调度指挥中枢。具备现场指挥、通信调控、综合办公系统等功能，满足市电接入和自我供电，发动机额定功率≥220kW，容纳人数≥30人。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通信指挥车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主要用于</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救援通信服务保障和临时指挥所建立，通过卫星天线与后方建立通信链路，并可在现场指挥部周边实现通信覆盖。发动机最大输出功率≥200kW，容纳人数≥10人。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现场指挥调度模块</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害事故现场利用公网、卫星网广域组网，实现与后方可视化平台的无缝对接，建立救灾指挥信息系统。利用高机动性、高通过性特种车辆集成搭载可视化指挥箱、自组网背负式基站，具备音视频采集、编译解码等功能。越野底盘，全时四驱，发动机额定功率≥230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生命探测仪</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用于对地震、塌方等灾害现场掩埋区域进行快速扫描探测，搜索被困人员，及时发现火源及生命体。具备雷达探测、红外双波段热像识别、人员搜救等功能，能够快速定位被困人员位置，实时显示探测结果。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ROV水下机器人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用于堰塞湖水下结构深潜探测，保障复杂水域大坝勘测、航道勘察、水下救援等活动。搭载推进器、探照灯、超清摄像机、机械臂等系统，具备水下视频实时回传功能。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测流无人机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用于暴雨洪水流动速度，特别是堤防溃口水流速度的快速探测。具备无人机水体流速、流量的监测系统，能满足最大20m/s流速环境测流，机动性强、人员远离洪水保障安全。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无人侦测船</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用于灾害现场水面巡航、检测、采样，获取灾害信息等。具有语音喊话、拍照取证、视频传输、智能避障等功能，搭载测深仪、无线传输设备、数据存储设备等，船体自重≤10kg。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滚石雷达</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主要为工程救援提供安全保障监测，具备微变和滚石两个模块，微变模块对边坡岩体变形进行监测预警，滚石模块对大块滚石进行识别预警。微变模块监测距离≥4000米</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监测精度≤0.1毫米，监测频率≤1分钟，水平覆盖角度≥110°，垂直覆盖范围≥30°，滚石模块监测距离≥500米。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三维激光扫描仪</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用于对泥石流、滑坡体等表面快速扫描，为现场指挥人员提供信息数据，为科学制定救援方案提供依据。具备检测、测绘等功能，能够对岩体节理构造和破坏机理进行快速分析，测距≥2km。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地质雷达</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地震、洪水、泥石流、山体滑坡、堤坝损毁、堰塞湖、城市内涝、应急救援等灾害的现场侦查；具备三维建模、安防巡检、应急救援、工程评估功能，可拓展通讯中继（电台）、智能组网（基站）、急件运输、夜间照明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边坡雷达</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用于滑坡体或堆积体稳定性和结构变形情况进行实时监测。搭载便携式监测雷达，具备形变场成像与三维地图融合显示和数据实时存储等功能，监测距离≥5km。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激光位移监测系统</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用于地震、爆炸、坍塌等引发山体位移，以及高危建筑物结构位移变化监测。配备激光和倾角探测模块、超大声音报警设备，具备无线后台控制、警示喊话等功能。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便携式突发地质灾害报警系统</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用于滑坡、崩塌、泥石流、滚石等地质灾害应急监测预警，可显示累计形变量、形变速率、形变加速度等，具备监测点、监测区域、强度图、形变图、形变速率图、形变加速度图与三维地形图融合显示功能。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无人机实景三维建模</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系统</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主要用于灾害现场影像三维重建，通过无人机进行灾情侦察，搜集信息，通过照片、视频，二维、三维建模，搭载三轴云台五镜头倾斜摄影相机，单镜头像素≥2500万，扫描速度≥190万点/秒。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小型多功能侦察救援建模无人机系统</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用于灾情视频图像传输、现场测绘，救援现场提供空中喊话、夜间照明等功能。包括飞行平台、充电箱、激光雷达、远程喊话模块、环扫雷达、机载流速仪、图传控制模块等。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便携式快速定位装备（GNSS位移监测便携站）</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用于灾害体的形变应急监测快速部署，集成太阳能控制器、无线通讯、薄膜太阳能板、插拔式蓄电池组、GNSS主板，整机重量≤10KG。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地下管廊三维无人激光探测仪</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用于地下管廊地形测量、形变勘测等。具备智能避障、数据采集和侦察、数据自动拼接、地形模型建立、输出剖面图等功能，最大测距≥300m，扫描速度≥150万点/s。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车载堤防隐患探测装备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受灾堤防内部的空洞、蚁穴、管涌通道、局部不密实、堤坡变形等隐患自动探测、失稳险情智能化识别，搭载信息传输、成果可视化、人工智能解译、险情报送功能的数据处理平台、越野车。探测深度≥30m，探测速度≥10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全站仪</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用于建筑物塌方体以及大坝、堤防、危险建筑物位移、沉降情况进行实时监测，为制定抢险救援方案提供技术支撑。具备测距、测角、危险体位移变形功能，能够实现对目标自动识别与</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校准</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。目标自动识别和照准距离≥500m，测距精度±（1mm+1.5ppm×D）。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冲锋舟</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用于水上救援，搜救巡逻，适用于大水面航行。马力≥40匹，船体长≥5m，宽≥1.9m，吃水深度≥0.7米，时速≥50公里/小时。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自扶正救生艇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主要用于洪水、堤坝损毁、堰塞湖、城市内涝、应急救援等灾害，前往使用普通救援船只无法到达的大浪、激流</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和</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滚水坝等地方实施救援；适用于运送人员物资。要求船体的材料具有防穿刺、防切割能力，同时具有太阳暴晒后不起皮不脱胶的能力；在≥5米/秒的激流中安全行驶；有自扶正功能，水中不会倾翻；持续航行6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气垫船</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人员遇内河急流、险滩、沼泽地时输送人员、物资，快速到达救援现场。具有水陆两栖机动功能。水上运输有效载重≥500公斤，推动发动机功率≥80马力，续航时间≥3小时，装载人数≥6人，平静水面上最大巡航速度≥70千米/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水陆两栖艇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用于灾害事故现场复杂环境条件下人员转移和物资运送。有效载荷≥1000kg，动力≥100kW，行驶速度≥30km/h。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全自动舟艇运输平台</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平台自带悬吊臂、发动机储放舱、牵引动力，可满足一次性吊装转运3艘冲锋舟及相关马达配件等。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中型载重无人机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用于“三断”等极端条件下物资投放及喊话照明等场景。具备一机双控、智能避障、低温航行等功能，搭载高清云台相机和降落伞空吊系统。载重能力≥25kg，续航里程≥20km。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高性能兵力投送车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救援期间兵力快速投送。采用加强型结构设计，通过结构优化，改善碰撞力传递路径，提高司乘人员安全性。半承载结构、轻量化设计，车辆灵活平稳。功率≥220KW，燃油类型：柴油，排放标准：国六，载客人数≥48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运兵车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主要用于抢险救援期间兵力快速投送。采用加强型结构设计，通过结构优化，改善碰撞力传递路径，提高司乘人员安全性。排放标准：国六，载客人数≥32人。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全地形车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洪涝灾害、城市内涝等灾害，适用于复杂、崎岖、狭窄并伴随有孤岛效应的地域，具有水陆两栖、全驱动、高机动、越障高、越壕宽、爬坡能力强、运输能力强等性能特点，可在抗洪抢险灾害中承担人员搜救、转运、物资运输等任务。水上载重能力≥450kg，陆上载重能力≥500kg；最大行驶速度：陆地≥50km/h，水上≥7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应急救援装备保障车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现场应急照明、供电、排水、起吊等场景，集应急照明、应急供电、防汛救援、排水功能、重物起吊牵引作业、登高救援作业、摄像图传、红外搜救、应急物资配备等多功能于一体化系统。起重≥3t，牵引≥5t，排水量≥300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/h，发电机组输出功率≥30kw。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1000KW应急救援电源车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重特大灾害事故救援，保障极端情况下长时间、大功率供电需要，与其他功率电源车搭配使用，满足救援现场不同用电需求。提供稳定、可靠、高功率输出应急电源，支持直流和交流电源，保障应急照明、移动电话、通信设备等器材装备电力需求</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输出功率≥1000kW，不少于5路输出（380V/220V）。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淋浴车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锅炉可满足50人连续淋浴需求，配备液压支腿。分为设备仓和淋浴区，更衣区，设备仓配备热水锅炉以及发电机和净水设备，配备8到10人淋浴位，设8</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10个衣物存放柜，配备空调和暖风机。排放标准：国六，时速≥90km。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饮食保障车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可提供200人的餐饮制作需求，配备1000L水箱和四门冰箱，厢体内安装有封闭燃烧式燃油节能蒸饭柜、炖锅和炒锅、洗菜池、切菜台、开水机等。厢体两侧上部设置不锈钢吊柜和抽油烟机排风系统，车内顶安装车内照明灯，厢体地板采用防滑花纹铝板。排放标准：国六，时速≥90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净水车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内置净水设备，配置驻车发电、行车逆变器供电、外接电源三套动力装置以及通风设施。配备储水罐，净水设备，饮水机等。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宿营车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上装总质量≤6300kg，方舱自重≤3200kg，整车总质量≤16000kg，最大爬坡度≥30°，发动机额定功率≥130kW，最高时速≥90km/h，适用于-40℃至40℃及高原环境</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可满足住宿人数≥24人，含淋浴卫生间个数≥2。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洗衣烘干车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洗衣设备≥50Kg，2组，洗烘一体机≥50Kg，2组，自带发电机保障，30人衣物收纳空间，</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全自动</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操作，配备衣物消杀设备。排放标准：国六，时速≥90km。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防疫消杀车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适用于在平战时对队伍集结地、野战医院、伤病员转运站、营房及附近居民点等室内外环境的病原微生物和蚊蝇等媒介昆虫进行消毒、杀虫处理。预防微生物所致疾病、虫媒传染病，</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防止</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 xml:space="preserve">害虫对人体的侵袭和防止生物战剂传播的机动卫生装备。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模块化应急保障装备</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由四大模块组成，住用模块，供电照明模块，净储水模块，供暖模块。满足后勤住宿，供电，静储水，供暖需求。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高原移动式供氧方舱</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用于保障高原高海拔极端气候条件下遂行抢险救援人员生命安全。产品产量为3</w:t>
            </w:r>
            <w:r>
              <w:rPr>
                <w:rFonts w:hint="eastAsia" w:ascii="仿宋_GB2312" w:hAnsi="宋体" w:cs="仿宋_GB2312"/>
                <w:i w:val="0"/>
                <w:iCs w:val="0"/>
                <w:color w:val="000000" w:themeColor="text1"/>
                <w:kern w:val="0"/>
                <w:sz w:val="22"/>
                <w:szCs w:val="22"/>
                <w:u w:val="none"/>
                <w:lang w:val="en-US" w:eastAsia="zh-CN" w:bidi="ar"/>
                <w14:textFill>
                  <w14:solidFill>
                    <w14:schemeClr w14:val="tx1"/>
                  </w14:solidFill>
                </w14:textFill>
              </w:rPr>
              <w:t>—</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150m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/h，启动时间≤15min，加温解冻时间≤5min。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多功能运（洒）水车</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主要用于抢险作业的路面清洗、同时，可以作为消杀防疫用，干旱灾害可以运送应急用水。罐体容积≥30m</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³</w:t>
            </w: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，发动机功率≥230kW，国六排放标准。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移动式自发电照明灯</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用于应急抢修、事故救援、抢险救灾等大型救援现场应急照明保障。配备小型运输载具，具备照明范围广、光照度强，半自动装卸等功能。探照灯功率≥3kW，发电机组功率≥5kW。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left="0" w:leftChars="0" w:firstLine="0" w:firstLineChars="0"/>
              <w:jc w:val="center"/>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无人机照明（系留无人机）</w:t>
            </w:r>
          </w:p>
        </w:tc>
        <w:tc>
          <w:tcPr>
            <w:tcW w:w="10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center"/>
              <w:rPr>
                <w:rFonts w:hint="eastAsia" w:ascii="仿宋_GB2312" w:hAnsi="宋体" w:eastAsia="仿宋_GB2312" w:cs="仿宋_GB2312"/>
                <w:i w:val="0"/>
                <w:iCs w:val="0"/>
                <w:color w:val="000000" w:themeColor="text1"/>
                <w:sz w:val="22"/>
                <w:szCs w:val="22"/>
                <w:u w:val="none"/>
                <w14:textFill>
                  <w14:solidFill>
                    <w14:schemeClr w14:val="tx1"/>
                  </w14:solidFill>
                </w14:textFill>
              </w:rPr>
            </w:pPr>
            <w:r>
              <w:rPr>
                <w:rFonts w:hint="eastAsia" w:ascii="仿宋_GB2312" w:hAnsi="宋体" w:eastAsia="仿宋_GB2312" w:cs="仿宋_GB2312"/>
                <w:i w:val="0"/>
                <w:iCs w:val="0"/>
                <w:color w:val="000000" w:themeColor="text1"/>
                <w:kern w:val="0"/>
                <w:sz w:val="22"/>
                <w:szCs w:val="22"/>
                <w:u w:val="none"/>
                <w:lang w:val="en-US" w:eastAsia="zh-CN" w:bidi="ar"/>
                <w14:textFill>
                  <w14:solidFill>
                    <w14:schemeClr w14:val="tx1"/>
                  </w14:solidFill>
                </w14:textFill>
              </w:rPr>
              <w:t>用于各类灾害事故大型作业现场应急照明。具有LED光源、高清无线图传、闪烁警示等功能，升空照明功率≥500W。</w:t>
            </w:r>
          </w:p>
        </w:tc>
      </w:tr>
    </w:tbl>
    <w:p/>
    <w:sectPr>
      <w:pgSz w:w="16838" w:h="11906" w:orient="landscape"/>
      <w:pgMar w:top="1531" w:right="2098" w:bottom="1531" w:left="198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YzZlYzE3YjcyMjA4YzFhMWY3N2Y5N2ZkYWJmYzkifQ=="/>
  </w:docVars>
  <w:rsids>
    <w:rsidRoot w:val="00000000"/>
    <w:rsid w:val="3CC42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40" w:lineRule="exact"/>
      <w:ind w:firstLine="200" w:firstLineChars="200"/>
      <w:jc w:val="both"/>
    </w:pPr>
    <w:rPr>
      <w:rFonts w:ascii="Times New Roman" w:hAnsi="Times New Roman" w:eastAsia="仿宋_GB2312" w:cs="黑体"/>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2024-04-17T07:04:23Z</dcterms:created>
  <dc:creator>dell</dc:creator>
  <cp:lastModifiedBy>WPS_1712797379</cp:lastModifiedBy>
  <dcterms:modified xsi:type="dcterms:W3CDTF">2024-04-17T07:05:32Z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F039A0890A9247939234F1EC63ADC429_12</vt:lpwstr>
  </property>
</Properties>
</file>