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tblpX="-169" w:tblpY="1"/>
        <w:tblOverlap w:val="never"/>
        <w:tblW w:w="13604"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2630"/>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604"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宋体" w:eastAsia="黑体" w:cs="黑体"/>
                <w:i w:val="0"/>
                <w:iCs w:val="0"/>
                <w:color w:val="000000"/>
                <w:sz w:val="28"/>
                <w:szCs w:val="28"/>
                <w:u w:val="none"/>
                <w:lang w:val="en-US" w:eastAsia="zh-CN"/>
              </w:rPr>
            </w:pPr>
            <w:r>
              <w:rPr>
                <w:rFonts w:hint="eastAsia" w:ascii="黑体" w:hAnsi="宋体" w:eastAsia="黑体" w:cs="黑体"/>
                <w:i w:val="0"/>
                <w:iCs w:val="0"/>
                <w:color w:val="000000"/>
                <w:sz w:val="28"/>
                <w:szCs w:val="28"/>
                <w:u w:val="none"/>
                <w:lang w:val="en-US" w:eastAsia="zh-CN"/>
              </w:rPr>
              <w:t>附件1</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604" w:type="dxa"/>
            <w:gridSpan w:val="3"/>
            <w:tcBorders>
              <w:top w:val="nil"/>
              <w:left w:val="nil"/>
              <w:bottom w:val="single" w:color="000000" w:sz="4" w:space="0"/>
              <w:right w:val="nil"/>
            </w:tcBorders>
            <w:shd w:val="clear" w:color="auto" w:fill="auto"/>
            <w:vAlign w:val="center"/>
          </w:tcPr>
          <w:p>
            <w:pPr>
              <w:keepNext w:val="0"/>
              <w:keepLines w:val="0"/>
              <w:widowControl/>
              <w:suppressLineNumbers w:val="0"/>
              <w:ind w:firstLine="880" w:firstLineChars="200"/>
              <w:jc w:val="center"/>
              <w:textAlignment w:val="center"/>
              <w:rPr>
                <w:rFonts w:hint="eastAsia" w:ascii="黑体" w:hAnsi="宋体" w:eastAsia="黑体" w:cs="黑体"/>
                <w:i w:val="0"/>
                <w:iCs w:val="0"/>
                <w:color w:val="000000"/>
                <w:kern w:val="2"/>
                <w:sz w:val="28"/>
                <w:szCs w:val="28"/>
                <w:u w:val="none"/>
                <w:lang w:val="en-US" w:eastAsia="zh-CN" w:bidi="ar-SA"/>
              </w:rPr>
            </w:pPr>
            <w:r>
              <w:rPr>
                <w:rFonts w:hint="eastAsia" w:ascii="方正小标宋简体" w:hAnsi="方正小标宋简体" w:eastAsia="方正小标宋简体" w:cs="方正小标宋简体"/>
                <w:sz w:val="44"/>
                <w:szCs w:val="44"/>
              </w:rPr>
              <w:t>应急救援装备目录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80" w:firstLineChars="100"/>
              <w:jc w:val="both"/>
              <w:textAlignment w:val="center"/>
              <w:rPr>
                <w:rFonts w:hint="eastAsia" w:ascii="黑体" w:hAnsi="宋体" w:eastAsia="黑体" w:cs="黑体"/>
                <w:i w:val="0"/>
                <w:iCs w:val="0"/>
                <w:color w:val="000000"/>
                <w:kern w:val="2"/>
                <w:sz w:val="28"/>
                <w:szCs w:val="28"/>
                <w:u w:val="none"/>
                <w:lang w:val="en-US" w:eastAsia="zh-CN" w:bidi="ar-SA"/>
              </w:rPr>
            </w:pPr>
            <w:r>
              <w:rPr>
                <w:rFonts w:hint="eastAsia" w:ascii="黑体" w:hAnsi="宋体" w:eastAsia="黑体" w:cs="黑体"/>
                <w:i w:val="0"/>
                <w:iCs w:val="0"/>
                <w:color w:val="000000"/>
                <w:kern w:val="0"/>
                <w:sz w:val="28"/>
                <w:szCs w:val="28"/>
                <w:u w:val="none"/>
                <w:lang w:val="en-US" w:eastAsia="zh-CN" w:bidi="ar"/>
              </w:rPr>
              <w:t>序号</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2"/>
                <w:sz w:val="28"/>
                <w:szCs w:val="28"/>
                <w:u w:val="none"/>
                <w:lang w:val="en-US" w:eastAsia="zh-CN" w:bidi="ar-SA"/>
              </w:rPr>
            </w:pPr>
            <w:r>
              <w:rPr>
                <w:rFonts w:hint="eastAsia" w:ascii="黑体" w:hAnsi="宋体" w:eastAsia="黑体" w:cs="黑体"/>
                <w:i w:val="0"/>
                <w:iCs w:val="0"/>
                <w:color w:val="000000"/>
                <w:kern w:val="0"/>
                <w:sz w:val="28"/>
                <w:szCs w:val="28"/>
                <w:u w:val="none"/>
                <w:lang w:val="en-US" w:eastAsia="zh-CN" w:bidi="ar"/>
              </w:rPr>
              <w:t>装备名称</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560" w:firstLineChars="200"/>
              <w:jc w:val="center"/>
              <w:textAlignment w:val="center"/>
              <w:rPr>
                <w:rFonts w:hint="eastAsia" w:ascii="黑体" w:hAnsi="宋体" w:eastAsia="黑体" w:cs="黑体"/>
                <w:i w:val="0"/>
                <w:iCs w:val="0"/>
                <w:color w:val="000000"/>
                <w:kern w:val="2"/>
                <w:sz w:val="28"/>
                <w:szCs w:val="28"/>
                <w:u w:val="none"/>
                <w:lang w:val="en-US" w:eastAsia="zh-CN" w:bidi="ar-SA"/>
              </w:rPr>
            </w:pPr>
            <w:r>
              <w:rPr>
                <w:rFonts w:hint="eastAsia" w:ascii="黑体" w:hAnsi="宋体" w:eastAsia="黑体" w:cs="黑体"/>
                <w:i w:val="0"/>
                <w:iCs w:val="0"/>
                <w:color w:val="000000"/>
                <w:kern w:val="0"/>
                <w:sz w:val="28"/>
                <w:szCs w:val="28"/>
                <w:u w:val="none"/>
                <w:lang w:val="en-US" w:eastAsia="zh-CN" w:bidi="ar"/>
              </w:rPr>
              <w:t>基本性能和参数要求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大功率推土机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较大规模以上堤防溃口、道路、泥石流、山体崩塌等救援现场块石、黏土、六面体、钢筋石笼等物料的运输、抛投、推平、碾压，与现有中小型推土机配合使用。具备铲土、运土、填土、平整、松土、牵引等功能，履带式岩石型推土机，额定功率≥350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高速履带推土机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用于抢修抢建道路、回填基坑、铲除障碍、清除积雪、平整场地等。配备橡胶履带底盘，具备推土、松土、清障、牵引、涉水、越障和救援等功能，行驶速度≥50km/h，额定功率≥200kW。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多功能推土机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用于坍塌建构筑物清理、道路清障、决口封堵、沟槽开挖、堆积体清理平整等救援任务。具有铲土、运土、填土、平整、松土、牵引等功能，额定功率≥250kW，履带式、岩石型。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履带式推土机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主要用于块石、黏土、六面体、钢筋石笼等封堵物料的运输抛投、推平碾压，具备铲土、运土、填土、平整、松土、牵引等功能</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额定功率≥260kW、整机工作重量≥39t。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湿地推土机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用于土质松软、表面泥泞易塌陷等救援场景中道路清障、决口封堵、沟槽开挖、堆积体清理平整等。具有铲土、运土、填土、平整、松土、牵引等功能，额定功率≥200kW。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推土机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用于各类堤防溃口、道路、泥石流、山体崩塌等救援现场块石、黏土、六面体、钢筋石笼等物料的运输、抛投、推平、碾压，与大型推土机配合使用，额定功率≥240kW。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步履式挖掘机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主要用于陡峭山坡、林地、沼泽等复杂地形环境抢险作业。作业参数：铲斗容量≥0.8m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，最大越障高度≥2800mm，最大涉水深度≥2400mm。步行爬坡能力≥45°，轮式爬坡能力≥25°。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大功率挖掘机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主要用于大体量工程坍塌物快速清除、沟槽开挖等作业。整机工作重量≥48t，额定斗容≥2.5m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，额定功率≥310kw，适用海拔≥4500米。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多功能应急救援挖掘机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山体崩塌、滑坡、泥石流清淤、地面塌陷处理及隧道掘进排险、危险物品清除和转移等安全生产事故救援。具备岩体破碎、液压剪切、强击夯实、拖拽牵引等功能，能实现无人遥控与驾驶操作的随时切换，无障碍遥控距离≥2km，额定斗容≥1.5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额定功率≥150kW。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履带式挖掘机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主要用于工程坍塌物快速清除、沟槽开挖等作业。整机工作重量≥37t</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额定功率≥250kW，额定斗容≥1.9m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水陆两栖挖掘机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用于堤防裂缝、漏洞、滑坡、决口或河道阻塞等情况险情处置。具备水面漂浮及湿地行走功能，适配多功能属具，水上行进速度≥3km/h，工作水深≥2m，额定斗容≥1m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遥控智能挖掘机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危险建筑物拆除、坍塌物清除、道路清障作业。具备多模式操作：手动、近程遥控、远程遥控模式功能可切换，远程遥控模式下支持5G网络遥控，具备全角度视频监控，配备多摄像头，挖掘机周围全方位监控，支持360度全景显示，额定斗容≥1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，适用海拔≥4500m。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应急救援挖掘机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用于建筑深基坑塌方、桥梁坍塌、道路大面积塌方等救援任务。配备破碎锤、剪钳、破拆组件，适用于不同区域，整机工作重量≥20t，额定斗容≥1m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长臂挖掘机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倒塌建筑物的拆除、破碎、吊运等，能够对边坡失稳引发的河道堵塞、泥石流、道路损毁等事故中的清理疏浚和高边坡孤石排险作业。具备挖掘、装载、吊装、破碎、拆除等功能，三段式长臂，作业半径≥25m、额定斗容≥0.5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、额定功率≥250kW。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大功率装载机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用于事故灾害救援过程中装载、货叉、侧卸、夹木钳等场景。具备一机多用、高机动、遥控操作等功能。最高时速≥80km/h，额定斗容≥2.5m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，额定功率≥150kW，卸载高度≥2.5m，爬坡度≥25°，适用海拔≥4500米。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电动侧卸式装载机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具备装载、货叉、侧卸、夹木钳等工作装置，实现一机多用，高机动性能，具有遥控操作功能。电池动力，最高时速≥80km/h，额定斗容≥2.7m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，额定功率≥150kW，卸载高度≥2.9m，最大爬坡度≥25度。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侧卸式装载机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用于事故灾害救援过程中狭窄道路、隧道的土石方装载、侧卸、运输、推铲等任务，额定斗容≥2.8m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，额定载荷≥5000kg，额定功率≥180kW。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轻型装载机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用于短距离抢险物料的装填、运输和场地整平，额定斗容≥3m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额定功率≥160kW。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自卸车（抢险运输车）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用于灾后道路散落物、隧道塌方物、山体滑坡山石等的清理和运输，额定功率≥250kW</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总质量≥31t，驱动形式8×4。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电动自卸车（电动抢险运输车）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运输抢险现场材料或原材料，节省卸料时间和劳动力，缩短运输周期，提高抢险效率，驱动形式8×4，货箱尺寸≥5600mm×2300mm×1300mm，最高车速（km/h）≥85，最大爬坡度（%）≥25%，电机额定功率（kW）≥250，电池额定电量（kWh）≥420k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大流量排水抢险车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建设工程深基坑、暴雨洪涝灾害导致的城市下沉隧道、地下商场、社区地下室、能源物流管廊等地下空间大面积严重淹没时的紧急抽排水，具备排水、供水、照明功能，能够实现大流量与高扬程间有效切换，一体化集成车载，连续工作时间≥150h，排水量≥5000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/h，带有浮泵装置。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小型皮卡式排水抢险车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暴雨洪涝灾害导致的较小空间内涝紧急排水，由高通过性和机动性皮卡车搭载发电机组、大流量潜水泵、水泵控制柜、排水软管、浮圈等，具备移动水泵、移动电源功能和远程监控调度系统功能，排水量≥500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多功能排水机器人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排涝机器人采用履带式全遥控驱动，主要针对城市地下车库以及下沉式隧道的排涝，无需抢险人员涉水作业，安全有保障，遥控器无线远程净空半径距离≥800m，为便于现有抢险车辆运输，排涝机器人的三维尺寸之和≤4400mm，整机工作重量≤1000kg，最大排水能力≥600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/h；最大扬程≥10m，最大排水距离≥100m，可抽排固体直径≥20mm，出水口内径≤200mm。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挖装抢护运输车（40T）</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用于救援装备的快速转运，牵引总质量≥40t，发动机功率≥440kW。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挖装抢护运输车（120T）</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主要用于抢险救援大型设备装备转运，整备质量≥10.5t，轴距3300+1400mm，扭矩≥2580N·m，马力≥560PS，牵引总质量≥120t。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动力舟桥</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洪涝灾害的抢险救援，保障大规模人员涉水疏散转移，重型救援装备和抢险物料涉水运输。配备运输车组、河中舟、岸边舟及相关动力装置。单车≤35t、行驶速度≥80km/h、装卸载适应坡度≥10°；浮桥宽度≥8m、适应流速≥3m/s、水上航速≥10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应急机械化桥</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主要用于泥石流等地质灾害以及洪水造成道路损坏、桥梁垮塌时，开展交通应急恢复。桥体最大荷载≥30t，桥体长度≥25m，桥面宽度≥3m，架设时间≤15min。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大功率振动碾</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用于堤坝决口封堵、围堰培高加固、塌陷道路压实修复等灾害事故救援场景。具备手动、遥控操作模式切换功能。工作质量≥30t，功率≥250kW。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平地机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用于泥石流等地质灾害以及洪水造成道路损坏、桥梁垮塌时，开展交通应急恢复。发动机功率≥129KW，整机重量≥14.5t，最小离地间隙≥430mm，牵引力≥77kN，最大爬坡能力≥25° , 最小转弯半径≤7.1m，铲刀长度≥3660mm。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隧道掘进设备</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主要用于泥石流等地质灾害以及洪水造成道路损坏、桥梁垮塌时，开展交通应急恢复。能够实现截割、装载运输、自行走及喷雾除尘的联合机组。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除雪除冰车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用于道路积雪扫除、道路破冰等雨雪冰冻灾害救援。配置除雪和破冰装置，具备挖装、松土、推铲、抓夹、绞盘牵引等功能。 额定功率≥180kW，时速≥90km/h，扫雪宽度≥2m，作业效率≥3km/h。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抛雪机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高原高海拔抢险救援，在极端低温状态下高效除雪作业，加快人员、装备通行速度，提高遂行救援任务能力。前置高速雪铲，除雪滚刷，中置腰铲，侧置翼铲，后置融雪剂撒布机。整机质量≥16.5t，发动机功率≥300kW，最大抛雪能力≥3000t/h，除雪宽度≥2m，除雪深度≥2米，除雪车速≥0.3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三臂凿岩台车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隧道、矿山、高速公路铁路、水利电站等事故救援中，对塌方边坡硬质岩石和建筑坍塌混凝土、钢筋混凝土构件进行凿岩破碎、爆破、支护等。具备智能化钻孔、边坡开挖面轮廓扫描、喷浆厚度检测、数据交互与</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远程通讯</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、超前地质探测分析等功能。三臂长度≥10m，转弯半径≤15m，冲击功率≥30kW，钻孔深度≥5m。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全电脑两臂凿岩台车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隧道、矿山、高速公路铁路、水利电站等事故救援中，对塌方边坡硬质岩石和建筑坍塌混凝土、钢筋混凝土构件进行凿岩破碎、爆破、支护等。具备智能化钻孔、边坡开挖面轮廓扫描、喷浆厚度检测、数据交互与远程通讯、超前地质探测分析等功能。凿岩直径≥35mm，钻孔深度≥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液压钻机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主要用于抢险救援爆破现场中钻孔作业，孔径范围76</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115mm，整机重量≥16500kg。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一体式潜孔钻</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top"/>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用于隧道、矿山、高速公路铁路、水利电站等事故救援中，对塌方边坡硬质岩石和建筑坍塌混凝土、钢筋混凝土构件进行凿岩破碎、爆破、支护等。主要参数</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钻孔深度≥24m，钻孔直径：90mm</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138mm，回转速度</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0-92rpm</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耗气量：15m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大口径水平救援钻机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用于山体、隧洞坍塌救援，快速打通逃生通道，无线遥控操作，有效规避视野盲区，安全性能强。钻进深度≥50m，救援通道内径≥800mm。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混凝土湿喷台车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用于大口径隧道、隧洞支护预防、边坡塌方和山体崩塌等事故灾害中岩层和表面碎石层加固，提高构筑物稳定性。具备混凝土泵送、湿式喷射、独立行走等功能。最大泵送方量≥30m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/h，喷射高度≥15m，喷射宽度≥30m，无线遥控距离≥100m。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顶管设备</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滑坡、泥石流、山体崩塌、雪崩等地质灾害抢险救援。泥水平衡顶管机为分体式设计，包括机头、主顶装置、主顶泵站、操作台及电控柜等，采用PLC控制、显示屏可视化操作。具有液压系统、减速机、电气控制系统等主要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混凝土搅拌应急抢险车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用于快速</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混凝土搅拌</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运输，最高车速≥90km/h，最大爬坡度≥40%、最大驻坡度≥30%、电量≥280kWh，动力电池容量≥450Ah，电压平台≥610V。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高速轮式多用工程车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滑坡、泥石流、山体崩塌、雪崩等地质灾害抢险救援。具备挖掘、装卸、推平、牵引等多种功能，可选配推铲、装载、夹抓等载具，可为多种液压手持属具提供液压能源，两端作业模式，一端挖掘、一端装载，发动机额定功率≥180kW，挖掘装置额定斗容≥0.2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，装载装置额定斗容≥0.8m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，时速≥90km/h。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工程注浆机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隧道塌方、边坡失稳、堤坝工程抢修抢建等事故救援，通过对岩层、岩石、坝体等结构注浆加固，可有效提高围岩、边坡、坝体稳定性。具备原料存储输送、自动配料制浆、多孔同时注浆和数据分析、实时记录、动态监测等功能。电总功率≥200kW，制浆能力≥20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25t起重车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用于厂房倒塌、隧道塌方、机械侧翻等事故起重吊运和救援设备配件吊装卸载，最大额定起重量≥25t。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50t起重车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用于倒塌建筑物钢筋混凝土梁板柱吊运，大型救援装备配件吊运安装和堤防溃口封堵现场钢筋石笼、预制块等重物的转载吊运等，最大额定起重量≥50t。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100t起重车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用于厂房倒塌、隧道塌方、机械侧翻等事故起重吊运和救援设备配件吊装卸载，最大额定起重量≥100t。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130t起重车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用于厂房倒塌、隧道塌方、机械侧翻等事故起重吊运和救援设备配件吊装卸载，最大额定起重量≥130t。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220t汽车起重机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top"/>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用于厂房倒塌、隧道塌方、机械侧翻等事故起重吊运和救援设备配件吊装卸载，最大额定起重量≥220t。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抢险救援综合起重车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隧道、地下厂房、车库等低矮空间，公路、桥梁事故救援等。集重型吊重、牵引、发电、照明，以及移动模块化器材箱等功能于一身，不同场景抢险救援提供多种器材快速搭载和运输的解决方案，实现一车多用。最大起重力矩≥100t.m，最远伸臂≥15m，最大吊重能力≥25t，起重臂架可伸缩+折叠，最小高度≤4.9m，配备10t液压绞盘和发电升降照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高空作业车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主要用于救援现场快速运送工作人员和器材到现场进行空中救援作业，转移受困人员。发动机额定功率≥85kW，最大作业高度≥30m，工作平台额定载荷≥200kg。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伸缩臂叉装车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主要用于复杂地形条件下的装卸抢险作业，可实现两轮、四轮、蟹行三种转向方式。举升高度≥7m，最大起重量≥3t，4轮驱动。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破拆机器人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用于城市地下空间、塌方隧道以及管道等狭小空间现场勘测、清障除险等场景。配备破碎锤、岩石锯等属具，具备破拆、切割、剪切、抓取等功能。发动机功率≥35kw，无线遥控≥1km</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爬坡能力≥30°，液压破碎锤打击频率≥500bpm，液压剪剪切力≥500kN，割缝宽度≥8mm。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钻裂一体机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主要用于危岩体的破拆，将凿岩机与劈裂机直接安装在挖掘机上，钻孔和分裂工作都可以在驾驶室里进行操作，能够实现钻孔和分裂一次完成，平均钻速≥1m/min，空压机排量≥3方。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随车起重运输车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主要用于现场的物资装卸及运输，集起重与运输一体，方便快捷，最大起重高度≥23m，最大起重重量≥16t，最大载重≥20t。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应急指挥方舱</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用于重特大灾害现场指挥部开设，快速建立一线指挥、决策、调度指挥中枢。具备现场指挥、通信调控、综合办公系统等功能，满足市电接入和自我供电，发动机额定功率≥220kW，容纳人数≥30人。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通信指挥车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主要用于</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救援通信服务保障和临时指挥所建立，通过卫星天线与后方建立通信链路，并可在现场指挥部周边实现通信覆盖。发动机最大输出功率≥200kW，容纳人数≥10人。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现场指挥调度模块</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灾害事故现场利用公网、卫星网广域组网，实现与后方可视化平台的无缝对接，建立救灾指挥信息系统。利用高机动性、高通过性特种车辆集成搭载可视化指挥箱、自组网背负式基站，具备音视频采集、编译解码等功能。越野底盘，全时四驱，发动机额定功率≥230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生命探测仪</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用于对地震、塌方等灾害现场掩埋区域进行快速扫描探测，搜索被困人员，及时发现火源及生命体。具备雷达探测、红外双波段热像识别、人员搜救等功能，能够快速定位被困人员位置，实时显示探测结果。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ROV水下机器人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用于堰塞湖水下结构深潜探测，保障复杂水域大坝勘测、航道勘察、水下救援等活动。搭载推进器、探照灯、超清摄像机、机械臂等系统，具备水下视频实时回传功能。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测流无人机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用于暴雨洪水流动速度，特别是堤防溃口水流速度的快速探测。具备无人机水体流速、流量的监测系统，能满足最大20m/s流速环境测流，机动性强、人员远离洪水保障安全。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无人侦测船</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用于灾害现场水面巡航、检测、采样，获取灾害信息等。具有语音喊话、拍照取证、视频传输、智能避障等功能，搭载测深仪、无线传输设备、数据存储设备等，船体自重≤10kg。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滚石雷达</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主要为工程救援提供安全保障监测，具备微变和滚石两个模块，微变模块对边坡岩体变形进行监测预警，滚石模块对大块滚石进行识别预警。微变模块监测距离≥4000米</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监测精度≤0.1毫米，监测频率≤1分钟，水平覆盖角度≥110°，垂直覆盖范围≥30°，滚石模块监测距离≥500米。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三维激光扫描仪</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用于对泥石流、滑坡体等表面快速扫描，为现场指挥人员提供信息数据，为科学制定救援方案提供依据。具备检测、测绘等功能，能够对岩体节理构造和破坏机理进行快速分析，测距≥2km。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地质雷达</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地震、洪水、泥石流、山体滑坡、堤坝损毁、堰塞湖、城市内涝、应急救援等灾害的现场侦查；具备三维建模、安防巡检、应急救援、工程评估功能，可拓展通讯中继（电台）、智能组网（基站）、急件运输、夜间照明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边坡雷达</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用于滑坡体或堆积体稳定性和结构变形情况进行实时监测。搭载便携式监测雷达，具备形变场成像与三维地图融合显示和数据实时存储等功能，监测距离≥5km。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激光位移监测系统</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用于地震、爆炸、坍塌等引发山体位移，以及高危建筑物结构位移变化监测。配备激光和倾角探测模块、超大声音报警设备，具备无线后台控制、警示喊话等功能。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便携式突发地质灾害报警系统</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用于滑坡、崩塌、泥石流、滚石等地质灾害应急监测预警，可显示累计形变量、形变速率、形变加速度等，具备监测点、监测区域、强度图、形变图、形变速率图、形变加速度图与三维地形图融合显示功能。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无人机实景三维建模</w:t>
            </w:r>
          </w:p>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系统</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主要用于灾害现场影像三维重建，通过无人机进行灾情侦察，搜集信息，通过照片、视频，二维、三维建模，搭载三轴云台五镜头倾斜摄影相机，单镜头像素≥2500万，扫描速度≥190万点/秒。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小型多功能侦察救援建模无人机系统</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用于灾情视频图像传输、现场测绘，救援现场提供空中喊话、夜间照明等功能。包括飞行平台、充电箱、激光雷达、远程喊话模块、环扫雷达、机载流速仪、图传控制模块等。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便携式快速定位装备（GNSS位移监测便携站）</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用于灾害体的形变应急监测快速部署，集成太阳能控制器、无线通讯、薄膜太阳能板、插拔式蓄电池组、GNSS主板，整机重量≤10KG。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地下管廊三维无人激光探测仪</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用于地下管廊地形测量、形变勘测等。具备智能避障、数据采集和侦察、数据自动拼接、地形模型建立、输出剖面图等功能，最大测距≥300m，扫描速度≥150万点/s。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车载堤防隐患探测装备</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受灾堤防内部的空洞、蚁穴、管涌通道、局部不密实、堤坡变形等隐患自动探测、失稳险情智能化识别，搭载信息传输、成果可视化、人工智能解译、险情报送功能的数据处理平台、越野车。探测深度≥30m，探测速度≥10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全站仪</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用于建筑物塌方体以及大坝、堤防、危险建筑物位移、沉降情况进行实时监测，为制定抢险救援方案提供技术支撑。具备测距、测角、危险体位移变形功能，能够实现对目标自动识别与</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校准</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。目标自动识别和照准距离≥500m，测距精度±（1mm+1.5ppm×D）。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冲锋舟</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用于水上救援，搜救巡逻，适用于大水面航行。马力≥40匹，船体长≥5m，宽≥1.9m，吃水深度≥0.7米，时速≥50公里/小时。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自扶正救生艇</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主要用于洪水、堤坝损毁、堰塞湖、城市内涝、应急救援等灾害，前往使用普通救援船只无法到达的大浪、激流</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和</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滚水坝等地方实施救援；适用于运送人员物资。要求船体的材料具有防穿刺、防切割能力，同时具有太阳暴晒后不起皮不脱胶的能力；在≥5米/秒的激流中安全行驶；有自扶正功能，水中不会倾翻；持续航行6小时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气垫船</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抢险人员遇内河急流、险滩、沼泽地时输送人员、物资，快速到达救援现场。具有水陆两栖机动功能。水上运输有效载重≥500公斤，推动发动机功率≥80马力，续航时间≥3小时，装载人数≥6人，平静水面上最大巡航速度≥70千米/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水陆两栖艇</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用于灾害事故现场复杂环境条件下人员转移和物资运送。有效载荷≥1000kg，动力≥100kW，行驶速度≥30km/h。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全自动舟艇运输平台</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平台自带悬吊臂、发动机储放舱、牵引动力，可满足一次性吊装转运3艘冲锋舟及相关马达配件等。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中型载重无人机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用于“三断”等极端条件下物资投放及喊话照明等场景。具备一机双控、智能避障、低温航行等功能，搭载高清云台相机和降落伞空吊系统。载重能力≥25kg，续航里程≥20km。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高性能兵力投送车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抢险救援期间兵力快速投送。采用加强型结构设计，通过结构优化，改善碰撞力传递路径，提高司乘人员安全性。半承载结构、轻量化设计，车辆灵活平稳。功率≥220KW，燃油类型：柴油，排放标准：国六，载客人数≥48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运兵车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主要用于抢险救援期间兵力快速投送。采用加强型结构设计，通过结构优化，改善碰撞力传递路径，提高司乘人员安全性。排放标准：国六，载客人数≥32人。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全地形车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洪涝灾害、城市内涝等灾害，适用于复杂、崎岖、狭窄并伴随有孤岛效应的地域，具有水陆两栖、全驱动、高机动、越障高、越壕宽、爬坡能力强、运输能力强等性能特点，可在抗洪抢险灾害中承担人员搜救、转运、物资运输等任务。水上载重能力≥450kg，陆上载重能力≥500kg；最大行驶速度：陆地≥50km/h，水上≥7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应急救援装备保障车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现场应急照明、供电、排水、起吊等场景，集应急照明、应急供电、防汛救援、排水功能、重物起吊牵引作业、登高救援作业、摄像图传、红外搜救、应急物资配备等多功能于一体化系统。起重≥3t，牵引≥5t，排水量≥300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/h，发电机组输出功率≥30kw。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1000KW应急救援电源车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重特大灾害事故救援，保障极端情况下长时间、大功率供电需要，与其他功率电源车搭配使用，满足救援现场不同用电需求。提供稳定、可靠、高功率输出应急电源，支持直流和交流电源，保障应急照明、移动电话、通信设备等器材装备电力需求</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输出功率≥1000kW，不少于5路输出（380V/220V）。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淋浴车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锅炉可满足50人连续淋浴需求，配备液压支腿。分为设备仓和淋浴区，更衣区，设备仓配备热水锅炉以及发电机和净水设备，配备8到10人淋浴位，设8</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10个衣物存放柜，配备空调和暖风机。排放标准：国六，时速≥90km。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饮食保障车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可提供200人的餐饮制作需求，配备1000L水箱和四门冰箱，厢体内安装有封闭燃烧式燃油节能蒸饭柜、炖锅和炒锅、洗菜池、切菜台、开水机等。厢体两侧上部设置不锈钢吊柜和抽油烟机排风系统，车内顶安装车内照明灯，厢体地板采用防滑花纹铝板。排放标准：国六，时速≥90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净水车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内置净水设备，配置驻车发电、行车逆变器供电、外接电源三套动力装置以及通风设施。配备储水罐，净水设备，饮水机等。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宿营车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上装总质量≤6300kg，方舱自重≤3200kg，整车总质量≤16000kg，最大爬坡度≥30°，发动机额定功率≥130kW，最高时速≥90km/h，适用于-40℃至40℃及高原环境</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可满足住宿人数≥24人，含淋浴卫生间个数≥2。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洗衣烘干车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洗衣设备≥50Kg，2组，洗烘一体机≥50Kg，2组，自带发电机保障，30人衣物收纳空间，</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全自动</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操作，配备衣物消杀设备。排放标准：国六，时速≥90km。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防疫消杀车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适用于在平战时对队伍集结地、野战医院、伤病员转运站、营房及附近居民点等室内外环境的病原微生物和蚊蝇等媒介昆虫进行消毒、杀虫处理。预防微生物所致疾病、虫媒传染病，</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防止</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 xml:space="preserve">害虫对人体的侵袭和防止生物战剂传播的机动卫生装备。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模块化应急保障装备</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由四大模块组成，住用模块，供电照明模块，净储水模块，供暖模块。满足后勤住宿，供电，静储水，供暖需求。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高原移动式供氧方舱</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用于保障高原高海拔极端气候条件下遂行抢险救援人员生命安全。产品产量为3</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150m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/h，启动时间≤15min，加温解冻时间≤5min。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多功能运（洒）水车</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主要用于抢险作业的路面清洗、同时，可以作为消杀防疫用，干旱灾害可以运送应急用水。罐体容积≥30m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³</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，发动机功率≥230kW，国六排放标准。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移动式自发电照明灯</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用于应急抢修、事故救援、抢险救灾等大型救援现场应急照明保障。配备小型运输载具，具备照明范围广、光照度强，半自动装卸等功能。探照灯功率≥3kW，发电机组功率≥5kW。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无人机照明（系留无人机）</w:t>
            </w:r>
          </w:p>
        </w:tc>
        <w:tc>
          <w:tcPr>
            <w:tcW w:w="10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用于各类灾害事故大型作业现场应急照明。具有LED光源、高清无线图传、闪烁警示等功能，升空照明功率≥500W。</w:t>
            </w:r>
          </w:p>
        </w:tc>
      </w:tr>
    </w:tbl>
    <w:p/>
    <w:sectPr>
      <w:pgSz w:w="16838" w:h="11906" w:orient="landscape"/>
      <w:pgMar w:top="1531" w:right="2098" w:bottom="1531" w:left="198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YzZlYzE3YjcyMjA4YzFhMWY3N2Y5N2ZkYWJmYzkifQ=="/>
  </w:docVars>
  <w:rsids>
    <w:rsidRoot w:val="00000000"/>
    <w:rsid w:val="3CC4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40" w:lineRule="exact"/>
      <w:ind w:firstLine="200" w:firstLineChars="200"/>
      <w:jc w:val="both"/>
    </w:pPr>
    <w:rPr>
      <w:rFonts w:ascii="Times New Roman" w:hAnsi="Times New Roman" w:eastAsia="仿宋_GB2312" w:cs="黑体"/>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pacing w:line="240" w:lineRule="atLeast"/>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2024-04-17T07:04:23Z</dcterms:created>
  <dc:creator>dell</dc:creator>
  <cp:lastModifiedBy>WPS_1712797379</cp:lastModifiedBy>
  <dcterms:modified xsi:type="dcterms:W3CDTF">2024-04-17T07:05:32Z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F039A0890A9247939234F1EC63ADC429_12</vt:lpwstr>
  </property>
</Properties>
</file>